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D31A5" w14:textId="77777777" w:rsidR="00066E55" w:rsidRDefault="00066E55" w:rsidP="00ED72AA">
      <w:pPr>
        <w:pStyle w:val="GPSL1Guidance"/>
        <w:spacing w:before="0" w:after="0"/>
        <w:ind w:left="0"/>
        <w:rPr>
          <w:rFonts w:ascii="Arial Bold" w:hAnsi="Arial Bold"/>
          <w:i w:val="0"/>
          <w:sz w:val="36"/>
          <w:szCs w:val="24"/>
        </w:rPr>
      </w:pPr>
    </w:p>
    <w:p w14:paraId="18163C71" w14:textId="77777777"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14:paraId="2819890E" w14:textId="520D293D"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Pr="00D90869">
        <w:rPr>
          <w:b w:val="0"/>
          <w:i w:val="0"/>
          <w:sz w:val="24"/>
          <w:szCs w:val="24"/>
        </w:rPr>
        <w:t>Buyer to Select whether or when Part A (Short Form Security Requirements) or Part B (Long Form Security Requirements)</w:t>
      </w:r>
      <w:r w:rsidR="006C5F68">
        <w:rPr>
          <w:b w:val="0"/>
          <w:i w:val="0"/>
          <w:sz w:val="24"/>
          <w:szCs w:val="24"/>
        </w:rPr>
        <w:t xml:space="preserve"> or Part C – </w:t>
      </w:r>
      <w:r w:rsidR="001B554D">
        <w:rPr>
          <w:b w:val="0"/>
          <w:i w:val="0"/>
          <w:sz w:val="24"/>
          <w:szCs w:val="24"/>
        </w:rPr>
        <w:t>Short Form Security Requirements -</w:t>
      </w:r>
      <w:r w:rsidR="006C5F68">
        <w:rPr>
          <w:b w:val="0"/>
          <w:i w:val="0"/>
          <w:sz w:val="24"/>
          <w:szCs w:val="24"/>
        </w:rPr>
        <w:t xml:space="preserve">SaaS </w:t>
      </w:r>
      <w:r w:rsidR="006C5F68" w:rsidRPr="00D90869">
        <w:rPr>
          <w:b w:val="0"/>
          <w:i w:val="0"/>
          <w:sz w:val="24"/>
          <w:szCs w:val="24"/>
        </w:rPr>
        <w:t>should apply</w:t>
      </w:r>
      <w:r w:rsidR="00E56CE4" w:rsidRPr="00D90869">
        <w:rPr>
          <w:b w:val="0"/>
          <w:i w:val="0"/>
          <w:sz w:val="24"/>
          <w:szCs w:val="24"/>
        </w:rPr>
        <w:t xml:space="preserve">. Part B should be considered where there is a high </w:t>
      </w:r>
      <w:bookmarkStart w:id="0" w:name="_GoBack"/>
      <w:r w:rsidR="00E56CE4" w:rsidRPr="00D90869">
        <w:rPr>
          <w:b w:val="0"/>
          <w:i w:val="0"/>
          <w:sz w:val="24"/>
          <w:szCs w:val="24"/>
        </w:rPr>
        <w:t>l</w:t>
      </w:r>
      <w:bookmarkEnd w:id="0"/>
      <w:r w:rsidR="00E56CE4" w:rsidRPr="00D90869">
        <w:rPr>
          <w:b w:val="0"/>
          <w:i w:val="0"/>
          <w:sz w:val="24"/>
          <w:szCs w:val="24"/>
        </w:rPr>
        <w:t>evel of ris</w:t>
      </w:r>
      <w:r w:rsidR="00D90869" w:rsidRPr="00D90869">
        <w:rPr>
          <w:b w:val="0"/>
          <w:i w:val="0"/>
          <w:sz w:val="24"/>
          <w:szCs w:val="24"/>
        </w:rPr>
        <w:t>k to personal or sensitive data</w:t>
      </w:r>
      <w:r w:rsidR="006C5F68">
        <w:rPr>
          <w:b w:val="0"/>
          <w:i w:val="0"/>
          <w:sz w:val="24"/>
          <w:szCs w:val="24"/>
        </w:rPr>
        <w:t xml:space="preserve"> Part C </w:t>
      </w:r>
      <w:r w:rsidR="0015405D">
        <w:rPr>
          <w:b w:val="0"/>
          <w:i w:val="0"/>
          <w:sz w:val="24"/>
          <w:szCs w:val="24"/>
        </w:rPr>
        <w:t>may be considered</w:t>
      </w:r>
      <w:r w:rsidR="006C5F68">
        <w:rPr>
          <w:b w:val="0"/>
          <w:i w:val="0"/>
          <w:sz w:val="24"/>
          <w:szCs w:val="24"/>
        </w:rPr>
        <w:t xml:space="preserve"> where the Buyer is contracting for a commodity-type SaaS solution</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14:paraId="76AB94EE"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1" w:name="_Toc379795828"/>
      <w:bookmarkStart w:id="2" w:name="_Toc379796024"/>
      <w:bookmarkStart w:id="3" w:name="_Toc379805388"/>
      <w:bookmarkStart w:id="4" w:name="_Toc379807182"/>
      <w:bookmarkStart w:id="5" w:name="_gjdgxs" w:colFirst="0" w:colLast="0"/>
      <w:bookmarkStart w:id="6" w:name="_30j0zll" w:colFirst="0" w:colLast="0"/>
      <w:bookmarkStart w:id="7" w:name="_1fob9te" w:colFirst="0" w:colLast="0"/>
      <w:bookmarkStart w:id="8" w:name="_3znysh7" w:colFirst="0" w:colLast="0"/>
      <w:bookmarkStart w:id="9" w:name="_2et92p0" w:colFirst="0" w:colLast="0"/>
      <w:bookmarkStart w:id="10" w:name="_tyjcwt" w:colFirst="0" w:colLast="0"/>
      <w:bookmarkStart w:id="11" w:name="_3dy6vkm" w:colFirst="0" w:colLast="0"/>
      <w:bookmarkStart w:id="12" w:name="_1t3h5sf" w:colFirst="0" w:colLast="0"/>
      <w:bookmarkStart w:id="13" w:name="_4d34og8" w:colFirst="0" w:colLast="0"/>
      <w:bookmarkStart w:id="14" w:name="_2s8eyo1" w:colFirst="0" w:colLast="0"/>
      <w:bookmarkStart w:id="15" w:name="_17dp8vu" w:colFirst="0" w:colLast="0"/>
      <w:bookmarkStart w:id="16" w:name="_3rdcrjn" w:colFirst="0" w:colLast="0"/>
      <w:bookmarkStart w:id="17" w:name="_26in1rg" w:colFirst="0" w:colLast="0"/>
      <w:bookmarkStart w:id="18" w:name="_lnxbz9" w:colFirst="0" w:colLast="0"/>
      <w:bookmarkStart w:id="19" w:name="_35nkun2" w:colFirst="0" w:colLast="0"/>
      <w:bookmarkStart w:id="20" w:name="_1ksv4uv" w:colFirst="0" w:colLast="0"/>
      <w:bookmarkStart w:id="21" w:name="_44sinio" w:colFirst="0" w:colLast="0"/>
      <w:bookmarkStart w:id="22" w:name="_2jxsxqh" w:colFirst="0" w:colLast="0"/>
      <w:bookmarkStart w:id="23" w:name="_z337ya" w:colFirst="0" w:colLast="0"/>
      <w:bookmarkStart w:id="24" w:name="_3j2qqm3" w:colFirst="0" w:colLast="0"/>
      <w:bookmarkStart w:id="25" w:name="_1y810tw" w:colFirst="0" w:colLast="0"/>
      <w:bookmarkStart w:id="26" w:name="_4i7ojhp" w:colFirst="0" w:colLast="0"/>
      <w:bookmarkStart w:id="27" w:name="_2xcytpi" w:colFirst="0" w:colLast="0"/>
      <w:bookmarkStart w:id="28" w:name="_1ci93xb" w:colFirst="0" w:colLast="0"/>
      <w:bookmarkStart w:id="29" w:name="_2bn6wsx" w:colFirst="0" w:colLast="0"/>
      <w:bookmarkStart w:id="30" w:name="zLastPageB4Annex"/>
      <w:bookmarkStart w:id="31" w:name="_Hlt3656373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F7D6D2B"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79D1C417"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F5C8C67"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082EB746" w14:textId="77777777" w:rsidTr="007477AF">
        <w:tc>
          <w:tcPr>
            <w:tcW w:w="2502" w:type="dxa"/>
            <w:shd w:val="clear" w:color="auto" w:fill="auto"/>
          </w:tcPr>
          <w:p w14:paraId="1C835AE8"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76434A1F"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0E7F9148"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4EF5411C"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31CFB3BA"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Pr="00D90869">
              <w:rPr>
                <w:sz w:val="24"/>
                <w:szCs w:val="24"/>
              </w:rPr>
              <w:t>;</w:t>
            </w:r>
          </w:p>
        </w:tc>
      </w:tr>
      <w:tr w:rsidR="00A25DB3" w:rsidRPr="00D90869" w14:paraId="7595CCEA" w14:textId="77777777" w:rsidTr="007477AF">
        <w:tc>
          <w:tcPr>
            <w:tcW w:w="2502" w:type="dxa"/>
            <w:shd w:val="clear" w:color="auto" w:fill="auto"/>
          </w:tcPr>
          <w:p w14:paraId="03399D99"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545FADA7"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0EE31769"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14:paraId="3905C7E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2DD38C1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Security Policy and the requirements in this Schedule including the Security Management Plan and shall ensure that the Security Management Plan produced by the Supplier fully complies with the Security Policy. </w:t>
      </w:r>
    </w:p>
    <w:p w14:paraId="27B222A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shall notify the Supplier of any changes or proposed changes to the Security Policy.</w:t>
      </w:r>
    </w:p>
    <w:p w14:paraId="77E82167"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1F566A3A"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135E5A5"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1BB7DC16"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7782F61B" w14:textId="77777777"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14:paraId="762859E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050DC29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7BEE11C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772E29E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proofErr w:type="gramStart"/>
      <w:r w:rsidRPr="00D90869">
        <w:rPr>
          <w:rFonts w:ascii="Arial" w:hAnsi="Arial"/>
          <w:sz w:val="24"/>
          <w:szCs w:val="24"/>
        </w:rPr>
        <w:t>complies</w:t>
      </w:r>
      <w:proofErr w:type="gramEnd"/>
      <w:r w:rsidRPr="00D90869">
        <w:rPr>
          <w:rFonts w:ascii="Arial" w:hAnsi="Arial"/>
          <w:sz w:val="24"/>
          <w:szCs w:val="24"/>
        </w:rPr>
        <w:t xml:space="preserve"> with the Security Policy and the ICT Policy.</w:t>
      </w:r>
    </w:p>
    <w:p w14:paraId="410B99D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00D350E2">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751A2CEA"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14:paraId="0839FC5B"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14:paraId="3392DF8A" w14:textId="77777777"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14:paraId="2496789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14:paraId="3B9E03D0" w14:textId="77777777"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14:paraId="3805282B"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14:paraId="38E2B8C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14:paraId="6CD7D59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2F29717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63F204C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6AECC8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14:paraId="0AE9C073" w14:textId="77777777"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 the Security Policy</w:t>
      </w:r>
      <w:bookmarkEnd w:id="39"/>
      <w:r w:rsidRPr="00D90869">
        <w:rPr>
          <w:rFonts w:ascii="Arial" w:hAnsi="Arial"/>
          <w:sz w:val="24"/>
          <w:szCs w:val="24"/>
        </w:rPr>
        <w:t>; and</w:t>
      </w:r>
    </w:p>
    <w:p w14:paraId="4488A7FC" w14:textId="77777777"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14:paraId="49A14ED4"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lastRenderedPageBreak/>
        <w:t>Development of the Security Management Plan</w:t>
      </w:r>
      <w:bookmarkEnd w:id="41"/>
      <w:bookmarkEnd w:id="42"/>
    </w:p>
    <w:p w14:paraId="4C5A048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Working Days after the Start Date and in accordance with Paragraph</w:t>
      </w:r>
      <w:r w:rsidR="007D649C">
        <w:rPr>
          <w:rFonts w:ascii="Arial" w:hAnsi="Arial"/>
          <w:sz w:val="24"/>
          <w:szCs w:val="24"/>
        </w:rPr>
        <w:t xml:space="preserve"> 4</w:t>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14:paraId="346C0C3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w:t>
      </w:r>
      <w:r w:rsidR="00D350E2">
        <w:rPr>
          <w:rFonts w:ascii="Arial" w:eastAsia="STZhongsong" w:hAnsi="Arial"/>
          <w:sz w:val="24"/>
          <w:szCs w:val="24"/>
        </w:rPr>
        <w:t xml:space="preserve"> </w:t>
      </w:r>
      <w:r w:rsidRPr="00D90869">
        <w:rPr>
          <w:rFonts w:ascii="Arial" w:eastAsia="STZhongsong" w:hAnsi="Arial"/>
          <w:sz w:val="24"/>
          <w:szCs w:val="24"/>
        </w:rPr>
        <w:t>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14:paraId="301CEEF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14:paraId="6108964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001938B6">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2179269D"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14:paraId="3FCB1732"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14:paraId="6D45C1E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282D054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623125F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to the Security Policy; </w:t>
      </w:r>
    </w:p>
    <w:p w14:paraId="128ABAD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6F2EADD5" w14:textId="77777777"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14:paraId="6CCFBB8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 xml:space="preserve">The Supplier shall provide the Buyer with the results of such reviews as soon as reasonably practicable after their completion and </w:t>
      </w:r>
      <w:r w:rsidRPr="00D90869">
        <w:rPr>
          <w:rFonts w:ascii="Arial" w:hAnsi="Arial"/>
          <w:sz w:val="24"/>
          <w:szCs w:val="24"/>
        </w:rPr>
        <w:lastRenderedPageBreak/>
        <w:t>amendment of the Security Management Plan at no additional cost to the Buyer. The results of the review shall include, without limitation:</w:t>
      </w:r>
      <w:bookmarkEnd w:id="55"/>
    </w:p>
    <w:p w14:paraId="7859899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1E0099E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181D45B5" w14:textId="77777777"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14:paraId="3607DDD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14:paraId="66D7281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14:paraId="672A257D"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56ED2784" w14:textId="77777777"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14:paraId="6311DD80" w14:textId="77777777"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14:paraId="3F6B5C94" w14:textId="77777777"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14:paraId="14CB74E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5C4FB0C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83DC8B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7549E91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Management Plan) of the Breach of Security or </w:t>
      </w:r>
      <w:r w:rsidRPr="00D90869">
        <w:rPr>
          <w:rFonts w:ascii="Arial" w:hAnsi="Arial"/>
          <w:sz w:val="24"/>
          <w:szCs w:val="24"/>
        </w:rPr>
        <w:lastRenderedPageBreak/>
        <w:t>attempted Breach of Security, including a cause analysis where required by the Buyer.</w:t>
      </w:r>
    </w:p>
    <w:p w14:paraId="2F7F5A9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14:paraId="43C320DB"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2FD04EC5"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656AB3E8"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4984AB0A" w14:textId="77777777" w:rsidR="003F5C7A" w:rsidRPr="003F5C7A" w:rsidRDefault="003F5C7A" w:rsidP="003F5C7A">
      <w:pPr>
        <w:rPr>
          <w:lang w:eastAsia="zh-CN"/>
        </w:rPr>
      </w:pPr>
    </w:p>
    <w:p w14:paraId="01A27DB9"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51BDC293"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3CA7B69C" w14:textId="77777777" w:rsidTr="007477AF">
        <w:tc>
          <w:tcPr>
            <w:tcW w:w="2250" w:type="dxa"/>
          </w:tcPr>
          <w:p w14:paraId="77DE6D39"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2B11179F"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49C4089A"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008ACD9F"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67FEFFC9"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p>
        </w:tc>
      </w:tr>
      <w:tr w:rsidR="00A25DB3" w:rsidRPr="00D90869" w14:paraId="3F0C488E" w14:textId="77777777" w:rsidTr="007477AF">
        <w:tc>
          <w:tcPr>
            <w:tcW w:w="2250" w:type="dxa"/>
          </w:tcPr>
          <w:p w14:paraId="091555E4"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128CCFCB"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792DF48E" w14:textId="77777777" w:rsidTr="007477AF">
        <w:tc>
          <w:tcPr>
            <w:tcW w:w="2250" w:type="dxa"/>
          </w:tcPr>
          <w:p w14:paraId="5548571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5340D4BB" w14:textId="77777777" w:rsidR="00A25DB3" w:rsidRPr="00D90869" w:rsidRDefault="00A25DB3" w:rsidP="00D90869">
            <w:pPr>
              <w:pStyle w:val="GPsDefinition"/>
              <w:jc w:val="left"/>
              <w:rPr>
                <w:sz w:val="24"/>
                <w:szCs w:val="24"/>
              </w:rPr>
            </w:pPr>
            <w:proofErr w:type="gramStart"/>
            <w:r w:rsidRPr="00D90869">
              <w:rPr>
                <w:sz w:val="24"/>
                <w:szCs w:val="24"/>
              </w:rPr>
              <w:t>tests</w:t>
            </w:r>
            <w:proofErr w:type="gramEnd"/>
            <w:r w:rsidRPr="00D90869">
              <w:rPr>
                <w:sz w:val="24"/>
                <w:szCs w:val="24"/>
              </w:rPr>
              <w:t xml:space="preserve"> to validate the ISMS and security of all relevant processes, systems, incident response plans, patches to vulnerabilities and mitigations to Breaches of Security.</w:t>
            </w:r>
          </w:p>
        </w:tc>
      </w:tr>
    </w:tbl>
    <w:p w14:paraId="730BD7A1" w14:textId="77777777"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14:paraId="285C38F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14:paraId="75034BB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14:paraId="1A7C13A8"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14:paraId="250AD0CD" w14:textId="77777777"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14:paraId="2AF907DD" w14:textId="77777777"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14:paraId="2EAF766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1C5D8A4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4B8ECF9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0BE88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6891371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25FB6B89" w14:textId="77777777"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14:paraId="39593C1D" w14:textId="77777777"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bookmarkEnd w:id="66"/>
      <w:r w:rsidRPr="00D90869">
        <w:rPr>
          <w:rFonts w:ascii="Arial" w:hAnsi="Arial"/>
          <w:sz w:val="24"/>
          <w:szCs w:val="24"/>
        </w:rPr>
        <w:t>.</w:t>
      </w:r>
    </w:p>
    <w:p w14:paraId="2F63FA1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297EA1EC" w14:textId="77777777" w:rsidR="00A25DB3" w:rsidRPr="00D90869" w:rsidRDefault="00A25DB3" w:rsidP="00D90869">
      <w:pPr>
        <w:pStyle w:val="GPSL2numberedclause"/>
        <w:keepNext/>
        <w:jc w:val="left"/>
        <w:rPr>
          <w:rFonts w:ascii="Arial" w:hAnsi="Arial"/>
          <w:sz w:val="24"/>
          <w:szCs w:val="24"/>
        </w:rPr>
      </w:pPr>
      <w:bookmarkStart w:id="67" w:name="_Ref365640311"/>
      <w:r w:rsidRPr="00D90869">
        <w:rPr>
          <w:rFonts w:ascii="Arial" w:hAnsi="Arial"/>
          <w:sz w:val="24"/>
          <w:szCs w:val="24"/>
        </w:rPr>
        <w:t>The ISMS shall:</w:t>
      </w:r>
      <w:bookmarkEnd w:id="67"/>
    </w:p>
    <w:p w14:paraId="7A16927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EFE57E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meet the relevant standards in ISO/IEC 27001 and ISO/IEC27002 in accordance with Paragraph</w:t>
      </w:r>
      <w:r w:rsidR="00D350E2">
        <w:rPr>
          <w:rFonts w:ascii="Arial" w:hAnsi="Arial"/>
          <w:sz w:val="24"/>
          <w:szCs w:val="24"/>
        </w:rPr>
        <w:t xml:space="preserve"> 7</w:t>
      </w:r>
      <w:r w:rsidRPr="00D90869">
        <w:rPr>
          <w:rFonts w:ascii="Arial" w:hAnsi="Arial"/>
          <w:sz w:val="24"/>
          <w:szCs w:val="24"/>
        </w:rPr>
        <w:t>;</w:t>
      </w:r>
    </w:p>
    <w:p w14:paraId="0E7FA71E"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lastRenderedPageBreak/>
        <w:t>at all times provide a level of security which:</w:t>
      </w:r>
    </w:p>
    <w:p w14:paraId="523AEE1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39CC80B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75727AD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43E06BB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Security Policy and the ICT Policy;</w:t>
      </w:r>
    </w:p>
    <w:p w14:paraId="1390457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Pr="00D90869">
        <w:rPr>
          <w:rFonts w:ascii="Arial" w:hAnsi="Arial"/>
          <w:sz w:val="24"/>
          <w:szCs w:val="24"/>
        </w:rPr>
        <w:tab/>
        <w:t xml:space="preserve"> (</w:t>
      </w:r>
      <w:hyperlink r:id="rId8" w:history="1">
        <w:r w:rsidRPr="00D90869">
          <w:rPr>
            <w:rFonts w:ascii="Arial" w:hAnsi="Arial"/>
            <w:sz w:val="24"/>
            <w:szCs w:val="24"/>
          </w:rPr>
          <w:t>https://www.gov.uk/government/uploads/system/uploads/attachment_data/file/255910/HMG_Security_Policy_Framework_V11.0.pdf</w:t>
        </w:r>
      </w:hyperlink>
      <w:r w:rsidRPr="00D90869">
        <w:rPr>
          <w:rFonts w:ascii="Arial" w:hAnsi="Arial"/>
          <w:sz w:val="24"/>
          <w:szCs w:val="24"/>
        </w:rPr>
        <w:t>);</w:t>
      </w:r>
    </w:p>
    <w:p w14:paraId="20C48EE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14:paraId="2FAA72F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Pr="00D90869">
          <w:rPr>
            <w:rFonts w:ascii="Arial" w:hAnsi="Arial"/>
            <w:sz w:val="24"/>
            <w:szCs w:val="24"/>
          </w:rPr>
          <w:t>http://www.cesg.gov.uk/publications/Documents/iamm-assessment-framework.pdf</w:t>
        </w:r>
      </w:hyperlink>
      <w:r w:rsidRPr="00D90869">
        <w:rPr>
          <w:rFonts w:ascii="Arial" w:hAnsi="Arial"/>
          <w:sz w:val="24"/>
          <w:szCs w:val="24"/>
        </w:rPr>
        <w:t>);</w:t>
      </w:r>
    </w:p>
    <w:p w14:paraId="3908E85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25C6021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384ACD7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00D350E2">
        <w:rPr>
          <w:rFonts w:ascii="Arial" w:hAnsi="Arial"/>
          <w:sz w:val="24"/>
          <w:szCs w:val="24"/>
        </w:rPr>
        <w:t>7</w:t>
      </w:r>
      <w:r w:rsidRPr="00D90869">
        <w:rPr>
          <w:rFonts w:ascii="Arial" w:hAnsi="Arial"/>
          <w:sz w:val="24"/>
          <w:szCs w:val="24"/>
        </w:rPr>
        <w:t>;</w:t>
      </w:r>
    </w:p>
    <w:p w14:paraId="28B97FB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6F6634E6" w14:textId="77777777"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14:paraId="3F08411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3AB5A14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w:t>
      </w:r>
      <w:r w:rsidRPr="00D90869">
        <w:rPr>
          <w:rFonts w:ascii="Arial" w:hAnsi="Arial"/>
          <w:sz w:val="24"/>
          <w:szCs w:val="24"/>
        </w:rPr>
        <w:lastRenderedPageBreak/>
        <w:t>for such standards, guidance and policies, as notified to the Supplier from time to time.</w:t>
      </w:r>
    </w:p>
    <w:p w14:paraId="64F870FD" w14:textId="77777777"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14:paraId="2A137819" w14:textId="77777777"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14:paraId="47F316E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53C32C4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0186AA1D" w14:textId="77777777"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14:paraId="2638D9DA" w14:textId="77777777"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14:paraId="6E0A465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1B38EA7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 Security Policy;</w:t>
      </w:r>
    </w:p>
    <w:p w14:paraId="718755F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6FF96E7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w:t>
      </w:r>
      <w:r w:rsidRPr="00D90869">
        <w:rPr>
          <w:rFonts w:ascii="Arial" w:hAnsi="Arial"/>
          <w:sz w:val="24"/>
          <w:szCs w:val="24"/>
        </w:rPr>
        <w:lastRenderedPageBreak/>
        <w:t>that could directly or indirectly have an impact on that information, data and/or the Deliverables;</w:t>
      </w:r>
    </w:p>
    <w:p w14:paraId="4F0FE31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F888A3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D350E2">
        <w:rPr>
          <w:rFonts w:ascii="Arial" w:hAnsi="Arial"/>
          <w:sz w:val="24"/>
          <w:szCs w:val="24"/>
        </w:rPr>
        <w:t>3.3</w:t>
      </w:r>
      <w:r w:rsidRPr="00D90869">
        <w:rPr>
          <w:rFonts w:ascii="Arial" w:hAnsi="Arial"/>
          <w:sz w:val="24"/>
          <w:szCs w:val="24"/>
        </w:rPr>
        <w:fldChar w:fldCharType="end"/>
      </w:r>
      <w:r w:rsidRPr="00D90869">
        <w:rPr>
          <w:rFonts w:ascii="Arial" w:hAnsi="Arial"/>
          <w:sz w:val="24"/>
          <w:szCs w:val="24"/>
        </w:rPr>
        <w:t>);</w:t>
      </w:r>
    </w:p>
    <w:p w14:paraId="242ACF5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196156B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649362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14:paraId="01AE3C9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145689C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56F1525E" w14:textId="77777777"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Security Management Plan following its resubmission, the matter shall be resolved in accordance with the Dispute Resolution Procedure. No Approval to be given by the Buyer </w:t>
      </w:r>
      <w:r w:rsidRPr="00D90869">
        <w:rPr>
          <w:rFonts w:ascii="Arial" w:hAnsi="Arial"/>
          <w:sz w:val="24"/>
          <w:szCs w:val="24"/>
        </w:rPr>
        <w:lastRenderedPageBreak/>
        <w:t>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14:paraId="02F1C94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10C35634"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30CEBF38" w14:textId="77777777"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14:paraId="068A85E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0B4008D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14:paraId="329F3D9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14:paraId="220A0FB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changes to the Security Policy;</w:t>
      </w:r>
    </w:p>
    <w:p w14:paraId="770994C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459C8F92"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14:paraId="223CBDC4" w14:textId="77777777"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14:paraId="0F48C6F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7606E05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00D9D3F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3FA6249E"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14:paraId="63D7927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14:paraId="601AFF6D" w14:textId="77777777"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14:paraId="06C5DFC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Security Testing</w:t>
      </w:r>
    </w:p>
    <w:p w14:paraId="70268D56" w14:textId="77777777"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w:t>
      </w:r>
      <w:r w:rsidR="00071A2D">
        <w:rPr>
          <w:rFonts w:ascii="Arial" w:hAnsi="Arial"/>
          <w:sz w:val="24"/>
          <w:szCs w:val="24"/>
        </w:rPr>
        <w:t>Service Levels</w:t>
      </w:r>
      <w:r w:rsidRPr="00D90869">
        <w:rPr>
          <w:rFonts w:ascii="Arial" w:hAnsi="Arial"/>
          <w:sz w:val="24"/>
          <w:szCs w:val="24"/>
        </w:rPr>
        <w:t>, the Supplier shall be granted relief against any resultant under-performance for the period of the Security Tests.</w:t>
      </w:r>
      <w:bookmarkEnd w:id="78"/>
    </w:p>
    <w:p w14:paraId="1209175A" w14:textId="77777777"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14:paraId="01D19BF6" w14:textId="77777777"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so as to meet the </w:t>
      </w:r>
      <w:r w:rsidR="00071A2D">
        <w:rPr>
          <w:rFonts w:ascii="Arial" w:hAnsi="Arial"/>
          <w:bCs/>
          <w:sz w:val="24"/>
          <w:szCs w:val="24"/>
        </w:rPr>
        <w:t>Service Levels</w:t>
      </w:r>
      <w:r w:rsidRPr="00D90869">
        <w:rPr>
          <w:rFonts w:ascii="Arial" w:hAnsi="Arial"/>
          <w:bCs/>
          <w:sz w:val="24"/>
          <w:szCs w:val="24"/>
        </w:rPr>
        <w:t>, the Supplier shall be granted relief against any resultant under-performance for the period of the Buyer’s test.</w:t>
      </w:r>
    </w:p>
    <w:p w14:paraId="6158CBAF" w14:textId="77777777"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14:paraId="268AF5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14:paraId="3C0997E2"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 xml:space="preserve">Complying with the ISMS </w:t>
      </w:r>
    </w:p>
    <w:p w14:paraId="57148C9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p>
    <w:p w14:paraId="4A61A437" w14:textId="77777777"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14:paraId="1EE5B06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14:paraId="6CACC11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3A77BA16" w14:textId="77777777"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14:paraId="1E2AC339"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69902464"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59D1037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427FD99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3DCAF6A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071A2D">
        <w:rPr>
          <w:rFonts w:ascii="Arial" w:hAnsi="Arial"/>
          <w:bCs/>
          <w:sz w:val="24"/>
          <w:szCs w:val="24"/>
        </w:rPr>
        <w:t>Service Levels</w:t>
      </w:r>
      <w:r w:rsidRPr="00D90869">
        <w:rPr>
          <w:rFonts w:ascii="Arial" w:hAnsi="Arial"/>
          <w:bCs/>
          <w:sz w:val="24"/>
          <w:szCs w:val="24"/>
        </w:rPr>
        <w:t xml:space="preserve"> Performance </w:t>
      </w:r>
      <w:r w:rsidRPr="00D90869">
        <w:rPr>
          <w:rFonts w:ascii="Arial" w:hAnsi="Arial"/>
          <w:sz w:val="24"/>
          <w:szCs w:val="24"/>
        </w:rPr>
        <w:t xml:space="preserve">Measures, the </w:t>
      </w:r>
      <w:r w:rsidRPr="00D90869">
        <w:rPr>
          <w:rFonts w:ascii="Arial" w:hAnsi="Arial"/>
          <w:sz w:val="24"/>
          <w:szCs w:val="24"/>
        </w:rPr>
        <w:lastRenderedPageBreak/>
        <w:t>Supplier shall be granted relief against any resultant under-performance for such period as the Buyer, acting reasonably, may specify by written notice to the Supplier;</w:t>
      </w:r>
    </w:p>
    <w:p w14:paraId="2E664AF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2557238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1AFAA931" w14:textId="77777777"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14:paraId="1D398AA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14:paraId="4388F7F1"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789CB92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2F772C5D" w14:textId="393B00FC"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9EDAB8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7DDB09CC"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5713E58C" w14:textId="77777777"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14:paraId="315A113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the Supplier can demonstrate that a vulnerability is not exploitable within the context of any Service (e.g. because it resides in a software component which is </w:t>
      </w:r>
      <w:r w:rsidRPr="00D90869">
        <w:rPr>
          <w:rFonts w:ascii="Arial" w:hAnsi="Arial"/>
          <w:sz w:val="24"/>
          <w:szCs w:val="24"/>
        </w:rPr>
        <w:lastRenderedPageBreak/>
        <w:t>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75421C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21A0E095"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14:paraId="33D46F53" w14:textId="5BC9917C"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Specification and </w:t>
      </w:r>
      <w:r w:rsidR="006C2174">
        <w:rPr>
          <w:rFonts w:ascii="Arial" w:hAnsi="Arial"/>
          <w:sz w:val="24"/>
          <w:szCs w:val="24"/>
        </w:rPr>
        <w:t>Implementation</w:t>
      </w:r>
      <w:r w:rsidRPr="00D90869">
        <w:rPr>
          <w:rFonts w:ascii="Arial" w:hAnsi="Arial"/>
          <w:sz w:val="24"/>
          <w:szCs w:val="24"/>
        </w:rPr>
        <w:t xml:space="preserve">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77BF89A8" w14:textId="508F3698"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COTS Software reduces the level of mitigations for known threats, vulnerabilities or exploitation techniques, provided always that such upgrade is made within 12 Months of release of the latest version; or</w:t>
      </w:r>
    </w:p>
    <w:p w14:paraId="0A10EF51"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14:paraId="46B99E83"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5A02E83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14:paraId="3C949ED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2C9F664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7A24153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001938B6">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554E2A1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32B1387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53D079C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remove or disable any extraneous interfaces, services or capabilities that are not needed for the provision of the Services (in order to reduce the attack surface of the ICT Environment); and</w:t>
      </w:r>
    </w:p>
    <w:p w14:paraId="7FDCE936"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14:paraId="58EBAA9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63FD1563" w14:textId="02520C93"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7F2A5452" w14:textId="77777777"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14:paraId="15F1DA6F"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7A55858D" w14:textId="77777777" w:rsidR="00A25DB3" w:rsidRPr="00D90869" w:rsidRDefault="00A25DB3" w:rsidP="00D90869">
      <w:pPr>
        <w:pStyle w:val="Default"/>
      </w:pPr>
    </w:p>
    <w:p w14:paraId="3DF15906"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6EF11D1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32F6A486"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3B126B2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CA5225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76232A69"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3E1EF0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40DE52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641CEB52"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47CA70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7D212D4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7CD4012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6C3CD35D" w14:textId="77777777"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14:paraId="7485786A"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3F696E6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4ABDFF1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75EF4D92"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787FD9C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BD30F0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Pr="00D90869">
          <w:rPr>
            <w:rStyle w:val="Hyperlink"/>
            <w:rFonts w:ascii="Arial" w:hAnsi="Arial"/>
            <w:sz w:val="24"/>
            <w:szCs w:val="24"/>
          </w:rPr>
          <w:t>https://www.ncsc.gov.uk/content/files/protected_files/article_files/Guidance_to_CESG_Cerification_for_Cyber_Security_IA_Professionals_-_issue_2.2_-_Oct_16%20-%20version.pdf</w:t>
        </w:r>
      </w:hyperlink>
      <w:r w:rsidRPr="00D90869">
        <w:rPr>
          <w:rFonts w:ascii="Arial" w:hAnsi="Arial"/>
          <w:sz w:val="24"/>
          <w:szCs w:val="24"/>
        </w:rPr>
        <w:t xml:space="preserve">) for all bespoke or complex components of the ICT Environment (to the extent that the ICT Environment is within the control of the Supplier). </w:t>
      </w:r>
    </w:p>
    <w:p w14:paraId="4AF51228"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36C6575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72121B3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agree on a case by case basis Supplier Staff roles which require specific government clearances (such as ‘SC’) including system administrators with privileged access to IT systems which store or process Government Data. </w:t>
      </w:r>
    </w:p>
    <w:p w14:paraId="3BAA1E8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14:paraId="086251C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3EE8EBC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8A9337E"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5E291D3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6A52F33D" w14:textId="77777777"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14:paraId="0B4A5BB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3EACDB7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86D0EC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5ADB820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32188C81" w14:textId="77777777" w:rsidR="00A25DB3"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60822A9F" w14:textId="77777777" w:rsidR="007C1612" w:rsidRDefault="007C1612" w:rsidP="00F50A13">
      <w:pPr>
        <w:pStyle w:val="GPSL2numberedclause"/>
        <w:numPr>
          <w:ilvl w:val="0"/>
          <w:numId w:val="0"/>
        </w:numPr>
        <w:ind w:left="936"/>
        <w:jc w:val="left"/>
        <w:rPr>
          <w:rFonts w:ascii="Arial" w:hAnsi="Arial"/>
          <w:sz w:val="24"/>
          <w:szCs w:val="24"/>
        </w:rPr>
      </w:pPr>
    </w:p>
    <w:p w14:paraId="7CA9FEE2" w14:textId="20A41E3D" w:rsidR="007C1612" w:rsidRDefault="007C1612">
      <w:pPr>
        <w:overflowPunct/>
        <w:autoSpaceDE/>
        <w:autoSpaceDN/>
        <w:adjustRightInd/>
        <w:spacing w:after="200" w:line="276" w:lineRule="auto"/>
        <w:ind w:left="0"/>
        <w:jc w:val="left"/>
        <w:textAlignment w:val="auto"/>
        <w:rPr>
          <w:sz w:val="24"/>
          <w:szCs w:val="24"/>
          <w:lang w:eastAsia="zh-CN"/>
        </w:rPr>
      </w:pPr>
      <w:r>
        <w:rPr>
          <w:sz w:val="24"/>
          <w:szCs w:val="24"/>
        </w:rPr>
        <w:br w:type="page"/>
      </w:r>
    </w:p>
    <w:p w14:paraId="72D306A7" w14:textId="09039F81" w:rsidR="00A25DB3" w:rsidRPr="00EE7D39" w:rsidRDefault="00A25DB3" w:rsidP="00D90869">
      <w:pPr>
        <w:pStyle w:val="TSOLScheduleAnnexName"/>
        <w:jc w:val="left"/>
        <w:rPr>
          <w:rFonts w:ascii="Arial Bold" w:hAnsi="Arial Bold" w:hint="eastAsia"/>
          <w:caps w:val="0"/>
          <w:sz w:val="36"/>
          <w:szCs w:val="24"/>
        </w:rPr>
      </w:pP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24B3340C" w14:textId="77777777" w:rsidR="00A25DB3" w:rsidRPr="00D90869" w:rsidRDefault="00A25DB3" w:rsidP="00D90869">
      <w:pPr>
        <w:pStyle w:val="Default"/>
        <w:rPr>
          <w:highlight w:val="yellow"/>
        </w:rPr>
      </w:pPr>
    </w:p>
    <w:p w14:paraId="09E0821C" w14:textId="77777777" w:rsidR="00A25DB3" w:rsidRPr="00D90869" w:rsidRDefault="00A25DB3" w:rsidP="00D90869">
      <w:pPr>
        <w:pStyle w:val="Default"/>
      </w:pPr>
      <w:r w:rsidRPr="00D90869">
        <w:rPr>
          <w:highlight w:val="yellow"/>
        </w:rPr>
        <w:t>[                ]</w:t>
      </w:r>
    </w:p>
    <w:p w14:paraId="04EC262C" w14:textId="77777777" w:rsidR="00A25DB3" w:rsidRPr="00D90869" w:rsidRDefault="00A25DB3" w:rsidP="00D90869">
      <w:pPr>
        <w:pStyle w:val="Default"/>
      </w:pPr>
    </w:p>
    <w:p w14:paraId="728109B9" w14:textId="77777777" w:rsidR="00A25DB3" w:rsidRPr="00D90869" w:rsidRDefault="00A25DB3" w:rsidP="00D90869">
      <w:pPr>
        <w:pStyle w:val="GPSmacrorestart"/>
        <w:jc w:val="left"/>
        <w:rPr>
          <w:color w:val="auto"/>
          <w:sz w:val="24"/>
          <w:szCs w:val="24"/>
          <w:lang w:eastAsia="en-GB"/>
        </w:rPr>
      </w:pPr>
    </w:p>
    <w:p w14:paraId="5B5EF0B2" w14:textId="03158EE0" w:rsidR="006C5F68" w:rsidRDefault="006C5F68">
      <w:pPr>
        <w:overflowPunct/>
        <w:autoSpaceDE/>
        <w:autoSpaceDN/>
        <w:adjustRightInd/>
        <w:spacing w:after="200" w:line="276" w:lineRule="auto"/>
        <w:ind w:left="0"/>
        <w:jc w:val="left"/>
        <w:textAlignment w:val="auto"/>
        <w:rPr>
          <w:sz w:val="24"/>
          <w:szCs w:val="24"/>
          <w:lang w:eastAsia="en-GB"/>
        </w:rPr>
      </w:pPr>
      <w:r>
        <w:rPr>
          <w:sz w:val="24"/>
          <w:szCs w:val="24"/>
          <w:lang w:eastAsia="en-GB"/>
        </w:rPr>
        <w:br w:type="page"/>
      </w:r>
    </w:p>
    <w:p w14:paraId="28BC4E70" w14:textId="77777777" w:rsidR="006C5F68" w:rsidRDefault="006C5F68" w:rsidP="006C5F68">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w:t>
      </w:r>
      <w:r>
        <w:rPr>
          <w:rFonts w:ascii="Arial" w:hAnsi="Arial"/>
          <w:caps w:val="0"/>
          <w:sz w:val="36"/>
          <w:szCs w:val="36"/>
        </w:rPr>
        <w:t>C</w:t>
      </w:r>
      <w:r w:rsidRPr="003F5C7A">
        <w:rPr>
          <w:rFonts w:ascii="Arial" w:hAnsi="Arial"/>
          <w:caps w:val="0"/>
          <w:sz w:val="36"/>
          <w:szCs w:val="36"/>
        </w:rPr>
        <w:t xml:space="preserve">: </w:t>
      </w:r>
      <w:r>
        <w:rPr>
          <w:rFonts w:ascii="Arial" w:hAnsi="Arial"/>
          <w:caps w:val="0"/>
          <w:sz w:val="36"/>
          <w:szCs w:val="36"/>
        </w:rPr>
        <w:t>Short</w:t>
      </w:r>
      <w:r w:rsidRPr="003F5C7A">
        <w:rPr>
          <w:caps w:val="0"/>
          <w:sz w:val="36"/>
          <w:szCs w:val="36"/>
        </w:rPr>
        <w:t xml:space="preserve"> Form Security Requirements</w:t>
      </w:r>
      <w:r>
        <w:rPr>
          <w:caps w:val="0"/>
          <w:sz w:val="36"/>
          <w:szCs w:val="36"/>
        </w:rPr>
        <w:t xml:space="preserve"> – SaaS</w:t>
      </w:r>
    </w:p>
    <w:p w14:paraId="3E652F50" w14:textId="77777777" w:rsidR="006C5F68" w:rsidRPr="006C5F68" w:rsidRDefault="006C5F68" w:rsidP="006C5F68">
      <w:pPr>
        <w:pStyle w:val="GPSL2numberedclause"/>
        <w:numPr>
          <w:ilvl w:val="0"/>
          <w:numId w:val="142"/>
        </w:numPr>
        <w:jc w:val="left"/>
        <w:rPr>
          <w:rFonts w:ascii="Arial" w:hAnsi="Arial"/>
          <w:sz w:val="24"/>
          <w:szCs w:val="24"/>
        </w:rPr>
      </w:pPr>
      <w:r>
        <w:rPr>
          <w:rFonts w:ascii="Arial" w:hAnsi="Arial"/>
          <w:sz w:val="24"/>
          <w:szCs w:val="24"/>
        </w:rPr>
        <w:t xml:space="preserve">Definitions - </w:t>
      </w:r>
      <w:r w:rsidRPr="006C5F68">
        <w:rPr>
          <w:rFonts w:ascii="Arial" w:hAnsi="Arial"/>
          <w:sz w:val="24"/>
          <w:szCs w:val="24"/>
        </w:rPr>
        <w:t>In this Schedule the following words shall have the following meanings and they shall supplement Joint Schedule 1 (Definitions):</w:t>
      </w:r>
    </w:p>
    <w:p w14:paraId="1AAA972B" w14:textId="5DF3D9C8" w:rsidR="006C5F68" w:rsidRDefault="004B5CB6" w:rsidP="00F50A13">
      <w:pPr>
        <w:pStyle w:val="GPSL2numberedclause"/>
        <w:numPr>
          <w:ilvl w:val="0"/>
          <w:numId w:val="0"/>
        </w:numPr>
        <w:ind w:left="1004"/>
        <w:jc w:val="left"/>
        <w:rPr>
          <w:rFonts w:ascii="Arial" w:hAnsi="Arial"/>
          <w:sz w:val="24"/>
          <w:szCs w:val="24"/>
        </w:rPr>
      </w:pPr>
      <w:r w:rsidRPr="00F50A13">
        <w:rPr>
          <w:rFonts w:ascii="Arial" w:hAnsi="Arial"/>
          <w:sz w:val="24"/>
          <w:szCs w:val="24"/>
          <w:highlight w:val="yellow"/>
        </w:rPr>
        <w:t>[</w:t>
      </w:r>
      <w:r w:rsidR="006C5F68" w:rsidRPr="00F50A13">
        <w:rPr>
          <w:rFonts w:ascii="Arial" w:hAnsi="Arial"/>
          <w:sz w:val="24"/>
          <w:szCs w:val="24"/>
          <w:highlight w:val="yellow"/>
        </w:rPr>
        <w:t>“ISMS” means</w:t>
      </w:r>
      <w:r w:rsidR="006C5F68" w:rsidRPr="00F50A13">
        <w:rPr>
          <w:rFonts w:ascii="Arial" w:hAnsi="Arial"/>
          <w:sz w:val="24"/>
          <w:szCs w:val="24"/>
          <w:highlight w:val="yellow"/>
        </w:rPr>
        <w:tab/>
        <w:t xml:space="preserve">the information security management system and process developed by the Supplier in accordance with </w:t>
      </w:r>
      <w:r w:rsidRPr="00F50A13">
        <w:rPr>
          <w:rFonts w:ascii="Arial" w:hAnsi="Arial"/>
          <w:sz w:val="24"/>
          <w:szCs w:val="24"/>
          <w:highlight w:val="yellow"/>
        </w:rPr>
        <w:t>p</w:t>
      </w:r>
      <w:r w:rsidR="006C5F68" w:rsidRPr="00F50A13">
        <w:rPr>
          <w:rFonts w:ascii="Arial" w:hAnsi="Arial"/>
          <w:sz w:val="24"/>
          <w:szCs w:val="24"/>
          <w:highlight w:val="yellow"/>
        </w:rPr>
        <w:t>aragraph 2 (ISMS) as updated from time to time; and</w:t>
      </w:r>
      <w:r w:rsidRPr="00F50A13">
        <w:rPr>
          <w:rFonts w:ascii="Arial" w:hAnsi="Arial"/>
          <w:sz w:val="24"/>
          <w:szCs w:val="24"/>
          <w:highlight w:val="yellow"/>
        </w:rPr>
        <w:t>]</w:t>
      </w:r>
    </w:p>
    <w:p w14:paraId="75B57ECF" w14:textId="4E1A6890" w:rsidR="006C5F68" w:rsidRDefault="001B554D" w:rsidP="00F50A13">
      <w:pPr>
        <w:pStyle w:val="GPSL2numberedclause"/>
        <w:numPr>
          <w:ilvl w:val="0"/>
          <w:numId w:val="0"/>
        </w:numPr>
        <w:ind w:left="1004"/>
        <w:jc w:val="left"/>
        <w:rPr>
          <w:rFonts w:ascii="Arial" w:hAnsi="Arial"/>
          <w:sz w:val="24"/>
          <w:szCs w:val="24"/>
        </w:rPr>
      </w:pPr>
      <w:r w:rsidDel="001B554D">
        <w:rPr>
          <w:rFonts w:ascii="Arial" w:hAnsi="Arial"/>
          <w:sz w:val="24"/>
          <w:szCs w:val="24"/>
        </w:rPr>
        <w:t xml:space="preserve"> </w:t>
      </w:r>
      <w:r w:rsidR="006C5F68">
        <w:rPr>
          <w:rFonts w:ascii="Arial" w:hAnsi="Arial"/>
          <w:sz w:val="24"/>
          <w:szCs w:val="24"/>
        </w:rPr>
        <w:t>“Security Management Plan” means</w:t>
      </w:r>
      <w:r w:rsidR="0015405D">
        <w:rPr>
          <w:rFonts w:ascii="Arial" w:hAnsi="Arial"/>
          <w:sz w:val="24"/>
          <w:szCs w:val="24"/>
        </w:rPr>
        <w:t xml:space="preserve"> </w:t>
      </w:r>
      <w:r w:rsidR="0015405D" w:rsidRPr="0015405D">
        <w:rPr>
          <w:rFonts w:ascii="Arial" w:hAnsi="Arial"/>
          <w:sz w:val="24"/>
          <w:szCs w:val="24"/>
        </w:rPr>
        <w:t>the Supplier's security management plan prepared pursuant to</w:t>
      </w:r>
      <w:r w:rsidR="0015405D">
        <w:rPr>
          <w:rFonts w:ascii="Arial" w:hAnsi="Arial"/>
          <w:sz w:val="24"/>
          <w:szCs w:val="24"/>
        </w:rPr>
        <w:t xml:space="preserve"> paragraph 2.</w:t>
      </w:r>
    </w:p>
    <w:p w14:paraId="5B19DD54" w14:textId="7B64C518" w:rsidR="006C5F68" w:rsidRPr="00721B70" w:rsidRDefault="006C5F68" w:rsidP="006C5F68">
      <w:pPr>
        <w:pStyle w:val="GPSL2numberedclause"/>
        <w:numPr>
          <w:ilvl w:val="0"/>
          <w:numId w:val="142"/>
        </w:numPr>
        <w:jc w:val="left"/>
        <w:rPr>
          <w:rFonts w:ascii="Arial" w:hAnsi="Arial"/>
          <w:sz w:val="24"/>
          <w:szCs w:val="24"/>
        </w:rPr>
      </w:pPr>
      <w:r w:rsidRPr="00721B70">
        <w:rPr>
          <w:rFonts w:ascii="Arial" w:hAnsi="Arial"/>
          <w:sz w:val="24"/>
          <w:szCs w:val="24"/>
        </w:rPr>
        <w:t xml:space="preserve">If requested to do so by the Buyer, before entering into this Call-Off Contract the Supplier will, within 15 Working Days of the date of this Call-Off Contract, develop (and obtain the Buyer’s </w:t>
      </w:r>
      <w:r w:rsidR="004B5CB6">
        <w:rPr>
          <w:rFonts w:ascii="Arial" w:hAnsi="Arial"/>
          <w:sz w:val="24"/>
          <w:szCs w:val="24"/>
        </w:rPr>
        <w:t>A</w:t>
      </w:r>
      <w:r w:rsidRPr="00721B70">
        <w:rPr>
          <w:rFonts w:ascii="Arial" w:hAnsi="Arial"/>
          <w:sz w:val="24"/>
          <w:szCs w:val="24"/>
        </w:rPr>
        <w:t xml:space="preserve">pproval of) a Security Management Plan </w:t>
      </w:r>
      <w:r w:rsidR="004B5CB6">
        <w:rPr>
          <w:rFonts w:ascii="Arial" w:hAnsi="Arial"/>
          <w:sz w:val="24"/>
          <w:szCs w:val="24"/>
        </w:rPr>
        <w:t>[</w:t>
      </w:r>
      <w:r w:rsidRPr="00F50A13">
        <w:rPr>
          <w:rFonts w:ascii="Arial" w:hAnsi="Arial"/>
          <w:sz w:val="24"/>
          <w:szCs w:val="24"/>
          <w:highlight w:val="yellow"/>
        </w:rPr>
        <w:t>and an Information Security Management System</w:t>
      </w:r>
      <w:r w:rsidR="004B5CB6">
        <w:rPr>
          <w:rFonts w:ascii="Arial" w:hAnsi="Arial"/>
          <w:sz w:val="24"/>
          <w:szCs w:val="24"/>
        </w:rPr>
        <w:t>]</w:t>
      </w:r>
      <w:r w:rsidRPr="00721B70">
        <w:rPr>
          <w:rFonts w:ascii="Arial" w:hAnsi="Arial"/>
          <w:sz w:val="24"/>
          <w:szCs w:val="24"/>
        </w:rPr>
        <w:t xml:space="preserve">. After Buyer </w:t>
      </w:r>
      <w:r w:rsidR="004B5CB6">
        <w:rPr>
          <w:rFonts w:ascii="Arial" w:hAnsi="Arial"/>
          <w:sz w:val="24"/>
          <w:szCs w:val="24"/>
        </w:rPr>
        <w:t>A</w:t>
      </w:r>
      <w:r w:rsidRPr="00721B70">
        <w:rPr>
          <w:rFonts w:ascii="Arial" w:hAnsi="Arial"/>
          <w:sz w:val="24"/>
          <w:szCs w:val="24"/>
        </w:rPr>
        <w:t xml:space="preserve">pproval the Security Management Plan </w:t>
      </w:r>
      <w:r w:rsidR="004B5CB6">
        <w:rPr>
          <w:rFonts w:ascii="Arial" w:hAnsi="Arial"/>
          <w:sz w:val="24"/>
          <w:szCs w:val="24"/>
        </w:rPr>
        <w:t>[</w:t>
      </w:r>
      <w:r w:rsidRPr="00F50A13">
        <w:rPr>
          <w:rFonts w:ascii="Arial" w:hAnsi="Arial"/>
          <w:sz w:val="24"/>
          <w:szCs w:val="24"/>
          <w:highlight w:val="yellow"/>
        </w:rPr>
        <w:t>and Information Security Management System</w:t>
      </w:r>
      <w:r w:rsidR="004B5CB6">
        <w:rPr>
          <w:rFonts w:ascii="Arial" w:hAnsi="Arial"/>
          <w:sz w:val="24"/>
          <w:szCs w:val="24"/>
        </w:rPr>
        <w:t>]</w:t>
      </w:r>
      <w:r w:rsidRPr="00721B70">
        <w:rPr>
          <w:rFonts w:ascii="Arial" w:hAnsi="Arial"/>
          <w:sz w:val="24"/>
          <w:szCs w:val="24"/>
        </w:rPr>
        <w:t xml:space="preserve"> will apply during the Term of this Call-Off Contract. </w:t>
      </w:r>
      <w:r w:rsidR="004B5CB6" w:rsidRPr="00F50A13">
        <w:rPr>
          <w:rFonts w:ascii="Arial" w:hAnsi="Arial"/>
          <w:sz w:val="24"/>
          <w:szCs w:val="24"/>
          <w:highlight w:val="yellow"/>
        </w:rPr>
        <w:t>The/</w:t>
      </w:r>
      <w:r w:rsidRPr="00F50A13">
        <w:rPr>
          <w:rFonts w:ascii="Arial" w:hAnsi="Arial"/>
          <w:sz w:val="24"/>
          <w:szCs w:val="24"/>
          <w:highlight w:val="yellow"/>
        </w:rPr>
        <w:t>Both plan</w:t>
      </w:r>
      <w:r w:rsidR="004B5CB6" w:rsidRPr="00F50A13">
        <w:rPr>
          <w:rFonts w:ascii="Arial" w:hAnsi="Arial"/>
          <w:sz w:val="24"/>
          <w:szCs w:val="24"/>
          <w:highlight w:val="yellow"/>
        </w:rPr>
        <w:t>[</w:t>
      </w:r>
      <w:r w:rsidRPr="00F50A13">
        <w:rPr>
          <w:rFonts w:ascii="Arial" w:hAnsi="Arial"/>
          <w:sz w:val="24"/>
          <w:szCs w:val="24"/>
          <w:highlight w:val="yellow"/>
        </w:rPr>
        <w:t>s</w:t>
      </w:r>
      <w:r w:rsidR="004B5CB6">
        <w:rPr>
          <w:rFonts w:ascii="Arial" w:hAnsi="Arial"/>
          <w:sz w:val="24"/>
          <w:szCs w:val="24"/>
        </w:rPr>
        <w:t>]</w:t>
      </w:r>
      <w:r w:rsidRPr="00721B70">
        <w:rPr>
          <w:rFonts w:ascii="Arial" w:hAnsi="Arial"/>
          <w:sz w:val="24"/>
          <w:szCs w:val="24"/>
        </w:rPr>
        <w:t xml:space="preserve"> will protect all aspects and processes associated with the delivery of the Services.</w:t>
      </w:r>
    </w:p>
    <w:p w14:paraId="5700855C" w14:textId="36E245A3" w:rsidR="006C5F68" w:rsidRPr="00721B70" w:rsidRDefault="006C5F68" w:rsidP="006C5F68">
      <w:pPr>
        <w:pStyle w:val="GPSL2numberedclause"/>
        <w:numPr>
          <w:ilvl w:val="0"/>
          <w:numId w:val="142"/>
        </w:numPr>
        <w:jc w:val="left"/>
        <w:rPr>
          <w:rFonts w:ascii="Arial" w:hAnsi="Arial"/>
          <w:sz w:val="24"/>
          <w:szCs w:val="24"/>
        </w:rPr>
      </w:pPr>
      <w:r w:rsidRPr="00721B70">
        <w:rPr>
          <w:rFonts w:ascii="Arial" w:hAnsi="Arial"/>
          <w:sz w:val="24"/>
          <w:szCs w:val="24"/>
        </w:rPr>
        <w:t xml:space="preserve">The Supplier will immediately notify </w:t>
      </w:r>
      <w:r w:rsidR="008242B8">
        <w:rPr>
          <w:rFonts w:ascii="Arial" w:hAnsi="Arial"/>
          <w:sz w:val="24"/>
          <w:szCs w:val="24"/>
        </w:rPr>
        <w:t xml:space="preserve">the </w:t>
      </w:r>
      <w:r w:rsidRPr="00721B70">
        <w:rPr>
          <w:rFonts w:ascii="Arial" w:hAnsi="Arial"/>
          <w:sz w:val="24"/>
          <w:szCs w:val="24"/>
        </w:rPr>
        <w:t xml:space="preserve">Buyer of any breach of security of </w:t>
      </w:r>
      <w:r w:rsidR="008242B8">
        <w:rPr>
          <w:rFonts w:ascii="Arial" w:hAnsi="Arial"/>
          <w:sz w:val="24"/>
          <w:szCs w:val="24"/>
        </w:rPr>
        <w:t xml:space="preserve">the </w:t>
      </w:r>
      <w:r w:rsidRPr="00721B70">
        <w:rPr>
          <w:rFonts w:ascii="Arial" w:hAnsi="Arial"/>
          <w:sz w:val="24"/>
          <w:szCs w:val="24"/>
        </w:rPr>
        <w:t>Buyer’s Confidential Information. Where the breach occurred because of a Supplier Default, the Supplier will recover the Buyer Confidential Information however it may be recorded.</w:t>
      </w:r>
    </w:p>
    <w:p w14:paraId="4A090665" w14:textId="77777777" w:rsidR="006C5F68" w:rsidRPr="00721B70" w:rsidRDefault="006C5F68" w:rsidP="006C5F68">
      <w:pPr>
        <w:pStyle w:val="GPSL2numberedclause"/>
        <w:numPr>
          <w:ilvl w:val="0"/>
          <w:numId w:val="142"/>
        </w:numPr>
        <w:jc w:val="left"/>
        <w:rPr>
          <w:rFonts w:ascii="Arial" w:hAnsi="Arial"/>
          <w:sz w:val="24"/>
          <w:szCs w:val="24"/>
        </w:rPr>
      </w:pPr>
      <w:r w:rsidRPr="006C5F68">
        <w:rPr>
          <w:rFonts w:ascii="Arial" w:hAnsi="Arial"/>
          <w:sz w:val="24"/>
          <w:szCs w:val="24"/>
        </w:rPr>
        <w:t xml:space="preserve">Any system development by the Supplier should also comply with the government’s ‘10 Steps </w:t>
      </w:r>
      <w:r w:rsidRPr="00721B70">
        <w:rPr>
          <w:rFonts w:ascii="Arial" w:hAnsi="Arial"/>
          <w:sz w:val="24"/>
          <w:szCs w:val="24"/>
        </w:rPr>
        <w:t xml:space="preserve">to Cyber Security’ guidance, available at </w:t>
      </w:r>
      <w:hyperlink r:id="rId13">
        <w:r w:rsidRPr="00721B70">
          <w:rPr>
            <w:rStyle w:val="Hyperlink"/>
            <w:rFonts w:ascii="Arial" w:hAnsi="Arial"/>
            <w:sz w:val="24"/>
            <w:szCs w:val="24"/>
          </w:rPr>
          <w:t>https://www.ncsc.gov.uk/guidance/10-steps-cyber-security</w:t>
        </w:r>
      </w:hyperlink>
    </w:p>
    <w:p w14:paraId="574720B7" w14:textId="77777777" w:rsidR="006C5F68" w:rsidRPr="006C5F68" w:rsidRDefault="006C5F68" w:rsidP="006C5F68">
      <w:pPr>
        <w:pStyle w:val="GPSL2numberedclause"/>
        <w:numPr>
          <w:ilvl w:val="0"/>
          <w:numId w:val="0"/>
        </w:numPr>
        <w:ind w:left="936"/>
        <w:jc w:val="left"/>
        <w:rPr>
          <w:rFonts w:ascii="Arial" w:hAnsi="Arial"/>
          <w:sz w:val="24"/>
          <w:szCs w:val="24"/>
        </w:rPr>
      </w:pPr>
    </w:p>
    <w:p w14:paraId="6D16D9C3" w14:textId="5EBEE605" w:rsidR="00A25DB3" w:rsidRPr="00D90869" w:rsidRDefault="006C5F68" w:rsidP="006C5F68">
      <w:pPr>
        <w:pStyle w:val="GPSmacrorestart"/>
        <w:jc w:val="left"/>
        <w:rPr>
          <w:color w:val="auto"/>
          <w:sz w:val="24"/>
          <w:szCs w:val="24"/>
          <w:lang w:eastAsia="en-GB"/>
        </w:rPr>
      </w:pPr>
      <w:r w:rsidRPr="00721B70">
        <w:rPr>
          <w:sz w:val="24"/>
          <w:szCs w:val="24"/>
        </w:rPr>
        <w:br w:type="page"/>
      </w:r>
    </w:p>
    <w:sectPr w:rsidR="00A25DB3" w:rsidRPr="00D90869" w:rsidSect="00066E55">
      <w:headerReference w:type="default" r:id="rId14"/>
      <w:footerReference w:type="defaul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4D45E" w14:textId="77777777" w:rsidR="003C7742" w:rsidRDefault="003C7742">
      <w:pPr>
        <w:spacing w:after="0"/>
      </w:pPr>
      <w:r>
        <w:separator/>
      </w:r>
    </w:p>
  </w:endnote>
  <w:endnote w:type="continuationSeparator" w:id="0">
    <w:p w14:paraId="61AD6B30" w14:textId="77777777" w:rsidR="003C7742" w:rsidRDefault="003C7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40A79" w14:textId="77777777" w:rsidR="00ED72AA" w:rsidRDefault="00ED72AA" w:rsidP="002C1E89">
    <w:pPr>
      <w:pStyle w:val="Footer"/>
      <w:ind w:left="0"/>
      <w:rPr>
        <w:sz w:val="20"/>
      </w:rPr>
    </w:pPr>
    <w:bookmarkStart w:id="90" w:name="LASTCURSORPOSITION"/>
  </w:p>
  <w:p w14:paraId="03D294BC" w14:textId="77777777" w:rsidR="002C1E89" w:rsidRPr="00066E55" w:rsidRDefault="002C1E89" w:rsidP="002C1E89">
    <w:pPr>
      <w:pStyle w:val="Footer"/>
      <w:ind w:left="0"/>
      <w:rPr>
        <w:sz w:val="20"/>
      </w:rPr>
    </w:pPr>
    <w:r w:rsidRPr="00066E55">
      <w:rPr>
        <w:sz w:val="20"/>
      </w:rPr>
      <w:t>Framework Ref: RM</w:t>
    </w:r>
    <w:r w:rsidR="00DD31C8">
      <w:rPr>
        <w:sz w:val="20"/>
      </w:rPr>
      <w:t>382</w:t>
    </w:r>
    <w:r w:rsidR="00EA2C9D">
      <w:rPr>
        <w:sz w:val="20"/>
      </w:rPr>
      <w:t>1</w:t>
    </w:r>
  </w:p>
  <w:p w14:paraId="56184FF5" w14:textId="3FBADD00" w:rsidR="006D36B9" w:rsidRDefault="002C1E89" w:rsidP="006D36B9">
    <w:pPr>
      <w:pStyle w:val="Footer"/>
      <w:ind w:left="0"/>
      <w:jc w:val="left"/>
      <w:rPr>
        <w:sz w:val="20"/>
      </w:rPr>
    </w:pPr>
    <w:r w:rsidRPr="00066E55">
      <w:rPr>
        <w:sz w:val="20"/>
      </w:rPr>
      <w:t>Project</w:t>
    </w:r>
    <w:r w:rsidR="006D36B9">
      <w:rPr>
        <w:sz w:val="20"/>
      </w:rPr>
      <w:t xml:space="preserve"> Version: </w:t>
    </w:r>
    <w:r w:rsidR="00F81DA8">
      <w:rPr>
        <w:sz w:val="20"/>
      </w:rPr>
      <w:t>V1</w:t>
    </w:r>
  </w:p>
  <w:p w14:paraId="40A09C6E" w14:textId="5C16AA14" w:rsidR="002C1E89" w:rsidRPr="00066E55" w:rsidRDefault="002C1E89" w:rsidP="006D36B9">
    <w:pPr>
      <w:pStyle w:val="Footer"/>
      <w:ind w:left="0"/>
      <w:jc w:val="left"/>
      <w:rPr>
        <w:sz w:val="20"/>
      </w:rPr>
    </w:pP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F81DA8">
      <w:rPr>
        <w:noProof/>
        <w:sz w:val="20"/>
      </w:rPr>
      <w:t>21</w:t>
    </w:r>
    <w:r w:rsidRPr="00066E55">
      <w:rPr>
        <w:noProof/>
        <w:sz w:val="20"/>
      </w:rPr>
      <w:fldChar w:fldCharType="end"/>
    </w:r>
  </w:p>
  <w:p w14:paraId="6C9E0146" w14:textId="77777777" w:rsidR="00BF0563" w:rsidRPr="005E1DB0" w:rsidRDefault="005E1DB0" w:rsidP="002C1E89">
    <w:pPr>
      <w:pStyle w:val="Footer"/>
      <w:ind w:left="0"/>
      <w:rPr>
        <w:color w:val="A6A6A6" w:themeColor="background1" w:themeShade="A6"/>
        <w:sz w:val="20"/>
      </w:rPr>
    </w:pPr>
    <w:r w:rsidRPr="00066E55">
      <w:rPr>
        <w:sz w:val="20"/>
      </w:rPr>
      <w:t>Model Version: v3.0</w:t>
    </w:r>
    <w:bookmarkEnd w:id="9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E6AAC" w14:textId="77777777" w:rsidR="004B5488" w:rsidRPr="005E1DB0" w:rsidRDefault="004B5488" w:rsidP="004B5488">
    <w:pPr>
      <w:tabs>
        <w:tab w:val="center" w:pos="4513"/>
        <w:tab w:val="right" w:pos="9026"/>
      </w:tabs>
      <w:spacing w:after="0"/>
      <w:ind w:left="0"/>
      <w:rPr>
        <w:rFonts w:eastAsia="Calibri"/>
        <w:color w:val="A6A6A6" w:themeColor="background1" w:themeShade="A6"/>
        <w:sz w:val="20"/>
      </w:rPr>
    </w:pPr>
  </w:p>
  <w:p w14:paraId="678F1B0E" w14:textId="77777777"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780DC85E" w14:textId="77777777"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sidR="00066E55">
      <w:rPr>
        <w:noProof/>
        <w:color w:val="A6A6A6" w:themeColor="background1" w:themeShade="A6"/>
        <w:sz w:val="20"/>
      </w:rPr>
      <w:t>1</w:t>
    </w:r>
    <w:r w:rsidRPr="005E1DB0">
      <w:rPr>
        <w:noProof/>
        <w:color w:val="A6A6A6" w:themeColor="background1" w:themeShade="A6"/>
        <w:sz w:val="20"/>
      </w:rPr>
      <w:fldChar w:fldCharType="end"/>
    </w:r>
  </w:p>
  <w:p w14:paraId="43CCA7A6" w14:textId="77777777" w:rsidR="005E1DB0" w:rsidRPr="005E1DB0" w:rsidRDefault="00793CAA" w:rsidP="005E1DB0">
    <w:pPr>
      <w:pStyle w:val="Footer"/>
      <w:ind w:left="0"/>
      <w:rPr>
        <w:color w:val="A6A6A6" w:themeColor="background1" w:themeShade="A6"/>
        <w:sz w:val="20"/>
      </w:rPr>
    </w:pPr>
    <w:r w:rsidRPr="005E1DB0">
      <w:rPr>
        <w:color w:val="A6A6A6" w:themeColor="background1" w:themeShade="A6"/>
        <w:sz w:val="20"/>
      </w:rPr>
      <w:t xml:space="preserve">Model </w:t>
    </w:r>
    <w:r w:rsidR="00066E55" w:rsidRPr="005E1DB0">
      <w:rPr>
        <w:color w:val="A6A6A6" w:themeColor="background1" w:themeShade="A6"/>
        <w:sz w:val="20"/>
      </w:rPr>
      <w:t>Version:</w:t>
    </w:r>
    <w:r w:rsidRPr="005E1DB0">
      <w:rPr>
        <w:color w:val="A6A6A6" w:themeColor="background1" w:themeShade="A6"/>
        <w:sz w:val="20"/>
      </w:rPr>
      <w:t xml:space="preserve"> v</w:t>
    </w:r>
    <w:r w:rsidR="005E1DB0">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004B5488"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45AC5" w14:textId="77777777" w:rsidR="003C7742" w:rsidRDefault="003C7742">
      <w:pPr>
        <w:spacing w:after="0"/>
      </w:pPr>
      <w:r>
        <w:separator/>
      </w:r>
    </w:p>
  </w:footnote>
  <w:footnote w:type="continuationSeparator" w:id="0">
    <w:p w14:paraId="6821161E" w14:textId="77777777" w:rsidR="003C7742" w:rsidRDefault="003C77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98277" w14:textId="77777777" w:rsidR="00BF0563" w:rsidRPr="00066E55" w:rsidRDefault="00BF0563">
    <w:pPr>
      <w:tabs>
        <w:tab w:val="center" w:pos="4513"/>
        <w:tab w:val="right" w:pos="9026"/>
      </w:tabs>
      <w:spacing w:after="0"/>
      <w:ind w:left="0"/>
      <w:rPr>
        <w:b/>
        <w:sz w:val="20"/>
        <w:szCs w:val="20"/>
      </w:rPr>
    </w:pPr>
    <w:r w:rsidRPr="00066E55">
      <w:rPr>
        <w:b/>
        <w:sz w:val="20"/>
        <w:szCs w:val="20"/>
      </w:rPr>
      <w:t>Call-Off Schedule 9 (Security)</w:t>
    </w:r>
  </w:p>
  <w:p w14:paraId="113F010D" w14:textId="77777777" w:rsidR="005E1DB0" w:rsidRPr="00066E55" w:rsidRDefault="005E1DB0">
    <w:pPr>
      <w:tabs>
        <w:tab w:val="center" w:pos="4513"/>
        <w:tab w:val="right" w:pos="9026"/>
      </w:tabs>
      <w:spacing w:after="0"/>
      <w:ind w:left="0"/>
      <w:rPr>
        <w:sz w:val="20"/>
        <w:szCs w:val="20"/>
      </w:rPr>
    </w:pPr>
    <w:r w:rsidRPr="00066E55">
      <w:rPr>
        <w:sz w:val="20"/>
        <w:szCs w:val="20"/>
      </w:rPr>
      <w:t>Call-Off Ref:</w:t>
    </w:r>
  </w:p>
  <w:p w14:paraId="3917FFD4" w14:textId="77777777" w:rsidR="00BF0563" w:rsidRPr="00066E55" w:rsidRDefault="00BF0563">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w:t>
    </w:r>
    <w:r w:rsidR="00844FC5" w:rsidRPr="00066E55">
      <w:rPr>
        <w:sz w:val="20"/>
        <w:szCs w:val="20"/>
        <w:lang w:eastAsia="en-GB"/>
      </w:rPr>
      <w:t>2018</w:t>
    </w:r>
  </w:p>
  <w:p w14:paraId="68BE3304" w14:textId="77777777" w:rsidR="004102DF" w:rsidRPr="00066E55" w:rsidRDefault="004102DF">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7950F6"/>
    <w:multiLevelType w:val="hybridMultilevel"/>
    <w:tmpl w:val="5094A96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0484F26"/>
    <w:multiLevelType w:val="multilevel"/>
    <w:tmpl w:val="C0145D50"/>
    <w:numStyleLink w:val="NumbListBullet"/>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60042DB"/>
    <w:multiLevelType w:val="multilevel"/>
    <w:tmpl w:val="DCB6E5DE"/>
    <w:numStyleLink w:val="NumbListLetteredLists"/>
  </w:abstractNum>
  <w:abstractNum w:abstractNumId="2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3"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CCC3F7A"/>
    <w:multiLevelType w:val="multilevel"/>
    <w:tmpl w:val="E47E444C"/>
    <w:lvl w:ilvl="0">
      <w:start w:val="1"/>
      <w:numFmt w:val="decimal"/>
      <w:lvlText w:val="16.%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7"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45DB3830"/>
    <w:multiLevelType w:val="multilevel"/>
    <w:tmpl w:val="02FA8398"/>
    <w:numStyleLink w:val="NumbListLegal"/>
  </w:abstractNum>
  <w:abstractNum w:abstractNumId="29"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0"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1" w15:restartNumberingAfterBreak="0">
    <w:nsid w:val="4EA31664"/>
    <w:multiLevelType w:val="multilevel"/>
    <w:tmpl w:val="02FA8398"/>
    <w:numStyleLink w:val="NumbListLegal"/>
  </w:abstractNum>
  <w:abstractNum w:abstractNumId="32"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3"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4"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5"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6"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9606855"/>
    <w:multiLevelType w:val="multilevel"/>
    <w:tmpl w:val="0344A328"/>
    <w:numStyleLink w:val="NumbListNumberedLists"/>
  </w:abstractNum>
  <w:abstractNum w:abstractNumId="3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3"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4"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DCC5E88"/>
    <w:multiLevelType w:val="multilevel"/>
    <w:tmpl w:val="02FA8398"/>
    <w:numStyleLink w:val="NumbListLegal"/>
  </w:abstractNum>
  <w:abstractNum w:abstractNumId="46"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3"/>
  </w:num>
  <w:num w:numId="2">
    <w:abstractNumId w:val="17"/>
  </w:num>
  <w:num w:numId="3">
    <w:abstractNumId w:val="43"/>
  </w:num>
  <w:num w:numId="4">
    <w:abstractNumId w:val="43"/>
  </w:num>
  <w:num w:numId="5">
    <w:abstractNumId w:val="43"/>
  </w:num>
  <w:num w:numId="6">
    <w:abstractNumId w:val="43"/>
  </w:num>
  <w:num w:numId="7">
    <w:abstractNumId w:val="43"/>
  </w:num>
  <w:num w:numId="8">
    <w:abstractNumId w:val="43"/>
  </w:num>
  <w:num w:numId="9">
    <w:abstractNumId w:val="43"/>
  </w:num>
  <w:num w:numId="10">
    <w:abstractNumId w:val="43"/>
  </w:num>
  <w:num w:numId="11">
    <w:abstractNumId w:val="43"/>
  </w:num>
  <w:num w:numId="12">
    <w:abstractNumId w:val="43"/>
  </w:num>
  <w:num w:numId="13">
    <w:abstractNumId w:val="43"/>
  </w:num>
  <w:num w:numId="14">
    <w:abstractNumId w:val="43"/>
  </w:num>
  <w:num w:numId="15">
    <w:abstractNumId w:val="43"/>
  </w:num>
  <w:num w:numId="16">
    <w:abstractNumId w:val="43"/>
  </w:num>
  <w:num w:numId="17">
    <w:abstractNumId w:val="43"/>
  </w:num>
  <w:num w:numId="18">
    <w:abstractNumId w:val="43"/>
  </w:num>
  <w:num w:numId="19">
    <w:abstractNumId w:val="43"/>
  </w:num>
  <w:num w:numId="20">
    <w:abstractNumId w:val="43"/>
  </w:num>
  <w:num w:numId="21">
    <w:abstractNumId w:val="43"/>
  </w:num>
  <w:num w:numId="22">
    <w:abstractNumId w:val="43"/>
  </w:num>
  <w:num w:numId="23">
    <w:abstractNumId w:val="43"/>
  </w:num>
  <w:num w:numId="24">
    <w:abstractNumId w:val="43"/>
  </w:num>
  <w:num w:numId="25">
    <w:abstractNumId w:val="43"/>
  </w:num>
  <w:num w:numId="26">
    <w:abstractNumId w:val="43"/>
  </w:num>
  <w:num w:numId="27">
    <w:abstractNumId w:val="43"/>
  </w:num>
  <w:num w:numId="28">
    <w:abstractNumId w:val="43"/>
  </w:num>
  <w:num w:numId="29">
    <w:abstractNumId w:val="43"/>
  </w:num>
  <w:num w:numId="30">
    <w:abstractNumId w:val="43"/>
  </w:num>
  <w:num w:numId="31">
    <w:abstractNumId w:val="43"/>
  </w:num>
  <w:num w:numId="32">
    <w:abstractNumId w:val="43"/>
  </w:num>
  <w:num w:numId="33">
    <w:abstractNumId w:val="43"/>
  </w:num>
  <w:num w:numId="34">
    <w:abstractNumId w:val="43"/>
  </w:num>
  <w:num w:numId="35">
    <w:abstractNumId w:val="43"/>
  </w:num>
  <w:num w:numId="36">
    <w:abstractNumId w:val="43"/>
  </w:num>
  <w:num w:numId="37">
    <w:abstractNumId w:val="43"/>
  </w:num>
  <w:num w:numId="38">
    <w:abstractNumId w:val="43"/>
  </w:num>
  <w:num w:numId="39">
    <w:abstractNumId w:val="43"/>
  </w:num>
  <w:num w:numId="40">
    <w:abstractNumId w:val="43"/>
  </w:num>
  <w:num w:numId="41">
    <w:abstractNumId w:val="43"/>
  </w:num>
  <w:num w:numId="42">
    <w:abstractNumId w:val="43"/>
  </w:num>
  <w:num w:numId="43">
    <w:abstractNumId w:val="43"/>
  </w:num>
  <w:num w:numId="44">
    <w:abstractNumId w:val="43"/>
  </w:num>
  <w:num w:numId="45">
    <w:abstractNumId w:val="43"/>
  </w:num>
  <w:num w:numId="46">
    <w:abstractNumId w:val="43"/>
  </w:num>
  <w:num w:numId="47">
    <w:abstractNumId w:val="43"/>
  </w:num>
  <w:num w:numId="48">
    <w:abstractNumId w:val="43"/>
  </w:num>
  <w:num w:numId="49">
    <w:abstractNumId w:val="43"/>
  </w:num>
  <w:num w:numId="50">
    <w:abstractNumId w:val="43"/>
  </w:num>
  <w:num w:numId="51">
    <w:abstractNumId w:val="43"/>
  </w:num>
  <w:num w:numId="52">
    <w:abstractNumId w:val="43"/>
  </w:num>
  <w:num w:numId="53">
    <w:abstractNumId w:val="43"/>
  </w:num>
  <w:num w:numId="54">
    <w:abstractNumId w:val="43"/>
  </w:num>
  <w:num w:numId="55">
    <w:abstractNumId w:val="43"/>
  </w:num>
  <w:num w:numId="56">
    <w:abstractNumId w:val="43"/>
  </w:num>
  <w:num w:numId="57">
    <w:abstractNumId w:val="43"/>
  </w:num>
  <w:num w:numId="58">
    <w:abstractNumId w:val="43"/>
  </w:num>
  <w:num w:numId="59">
    <w:abstractNumId w:val="43"/>
  </w:num>
  <w:num w:numId="60">
    <w:abstractNumId w:val="43"/>
  </w:num>
  <w:num w:numId="61">
    <w:abstractNumId w:val="43"/>
  </w:num>
  <w:num w:numId="62">
    <w:abstractNumId w:val="43"/>
  </w:num>
  <w:num w:numId="63">
    <w:abstractNumId w:val="43"/>
  </w:num>
  <w:num w:numId="64">
    <w:abstractNumId w:val="43"/>
  </w:num>
  <w:num w:numId="65">
    <w:abstractNumId w:val="43"/>
  </w:num>
  <w:num w:numId="66">
    <w:abstractNumId w:val="43"/>
  </w:num>
  <w:num w:numId="67">
    <w:abstractNumId w:val="43"/>
  </w:num>
  <w:num w:numId="68">
    <w:abstractNumId w:val="43"/>
  </w:num>
  <w:num w:numId="69">
    <w:abstractNumId w:val="43"/>
  </w:num>
  <w:num w:numId="70">
    <w:abstractNumId w:val="43"/>
  </w:num>
  <w:num w:numId="71">
    <w:abstractNumId w:val="43"/>
  </w:num>
  <w:num w:numId="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3"/>
  </w:num>
  <w:num w:numId="75">
    <w:abstractNumId w:val="43"/>
  </w:num>
  <w:num w:numId="76">
    <w:abstractNumId w:val="43"/>
  </w:num>
  <w:num w:numId="77">
    <w:abstractNumId w:val="43"/>
  </w:num>
  <w:num w:numId="78">
    <w:abstractNumId w:val="43"/>
  </w:num>
  <w:num w:numId="7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3"/>
  </w:num>
  <w:num w:numId="90">
    <w:abstractNumId w:val="36"/>
  </w:num>
  <w:num w:numId="91">
    <w:abstractNumId w:val="13"/>
  </w:num>
  <w:num w:numId="92">
    <w:abstractNumId w:val="32"/>
  </w:num>
  <w:num w:numId="93">
    <w:abstractNumId w:val="46"/>
  </w:num>
  <w:num w:numId="94">
    <w:abstractNumId w:val="44"/>
  </w:num>
  <w:num w:numId="95">
    <w:abstractNumId w:val="34"/>
  </w:num>
  <w:num w:numId="96">
    <w:abstractNumId w:val="23"/>
  </w:num>
  <w:num w:numId="97">
    <w:abstractNumId w:val="9"/>
  </w:num>
  <w:num w:numId="98">
    <w:abstractNumId w:val="10"/>
  </w:num>
  <w:num w:numId="99">
    <w:abstractNumId w:val="12"/>
  </w:num>
  <w:num w:numId="100">
    <w:abstractNumId w:val="35"/>
  </w:num>
  <w:num w:numId="101">
    <w:abstractNumId w:val="16"/>
  </w:num>
  <w:num w:numId="102">
    <w:abstractNumId w:val="40"/>
  </w:num>
  <w:num w:numId="103">
    <w:abstractNumId w:val="22"/>
  </w:num>
  <w:num w:numId="104">
    <w:abstractNumId w:val="29"/>
  </w:num>
  <w:num w:numId="105">
    <w:abstractNumId w:val="27"/>
  </w:num>
  <w:num w:numId="106">
    <w:abstractNumId w:val="26"/>
  </w:num>
  <w:num w:numId="107">
    <w:abstractNumId w:val="42"/>
  </w:num>
  <w:num w:numId="108">
    <w:abstractNumId w:val="30"/>
  </w:num>
  <w:num w:numId="109">
    <w:abstractNumId w:val="39"/>
  </w:num>
  <w:num w:numId="110">
    <w:abstractNumId w:val="19"/>
  </w:num>
  <w:num w:numId="111">
    <w:abstractNumId w:val="31"/>
  </w:num>
  <w:num w:numId="112">
    <w:abstractNumId w:val="28"/>
  </w:num>
  <w:num w:numId="113">
    <w:abstractNumId w:val="45"/>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8"/>
  </w:num>
  <w:num w:numId="115">
    <w:abstractNumId w:val="21"/>
  </w:num>
  <w:num w:numId="116">
    <w:abstractNumId w:val="38"/>
  </w:num>
  <w:num w:numId="117">
    <w:abstractNumId w:val="11"/>
  </w:num>
  <w:num w:numId="118">
    <w:abstractNumId w:val="20"/>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4"/>
  </w:num>
  <w:num w:numId="129">
    <w:abstractNumId w:val="14"/>
  </w:num>
  <w:num w:numId="130">
    <w:abstractNumId w:val="37"/>
  </w:num>
  <w:num w:numId="1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1"/>
  </w:num>
  <w:num w:numId="133">
    <w:abstractNumId w:val="45"/>
  </w:num>
  <w:num w:numId="1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43"/>
  </w:num>
  <w:num w:numId="1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5"/>
  </w:num>
  <w:num w:numId="139">
    <w:abstractNumId w:val="43"/>
  </w:num>
  <w:num w:numId="140">
    <w:abstractNumId w:val="43"/>
  </w:num>
  <w:num w:numId="1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5"/>
  </w:num>
  <w:num w:numId="143">
    <w:abstractNumId w:val="43"/>
  </w:num>
  <w:num w:numId="144">
    <w:abstractNumId w:val="43"/>
  </w:num>
  <w:num w:numId="145">
    <w:abstractNumId w:val="43"/>
  </w:num>
  <w:num w:numId="146">
    <w:abstractNumId w:val="43"/>
  </w:num>
  <w:num w:numId="147">
    <w:abstractNumId w:val="43"/>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1443B"/>
    <w:rsid w:val="00054AC5"/>
    <w:rsid w:val="000551E6"/>
    <w:rsid w:val="00066E55"/>
    <w:rsid w:val="00071A2D"/>
    <w:rsid w:val="000741B9"/>
    <w:rsid w:val="00090120"/>
    <w:rsid w:val="00106EE4"/>
    <w:rsid w:val="001135BA"/>
    <w:rsid w:val="00136FB0"/>
    <w:rsid w:val="0015405D"/>
    <w:rsid w:val="00155398"/>
    <w:rsid w:val="001938B6"/>
    <w:rsid w:val="001B554D"/>
    <w:rsid w:val="001C3DC2"/>
    <w:rsid w:val="002C1E89"/>
    <w:rsid w:val="002C7D7F"/>
    <w:rsid w:val="003143CB"/>
    <w:rsid w:val="00323E21"/>
    <w:rsid w:val="003B664A"/>
    <w:rsid w:val="003C7742"/>
    <w:rsid w:val="003F5C7A"/>
    <w:rsid w:val="004102DF"/>
    <w:rsid w:val="00457E0E"/>
    <w:rsid w:val="004B5488"/>
    <w:rsid w:val="004B5CB6"/>
    <w:rsid w:val="004B5CF1"/>
    <w:rsid w:val="00503C8C"/>
    <w:rsid w:val="005945D2"/>
    <w:rsid w:val="005E1DB0"/>
    <w:rsid w:val="005F4681"/>
    <w:rsid w:val="0065711E"/>
    <w:rsid w:val="006C2174"/>
    <w:rsid w:val="006C5F68"/>
    <w:rsid w:val="006D36B9"/>
    <w:rsid w:val="0071174D"/>
    <w:rsid w:val="00782572"/>
    <w:rsid w:val="00793CAA"/>
    <w:rsid w:val="007B3184"/>
    <w:rsid w:val="007C1612"/>
    <w:rsid w:val="007D649C"/>
    <w:rsid w:val="00807886"/>
    <w:rsid w:val="008242B8"/>
    <w:rsid w:val="00844FC5"/>
    <w:rsid w:val="00873039"/>
    <w:rsid w:val="008E479E"/>
    <w:rsid w:val="009B3DFC"/>
    <w:rsid w:val="009E1A38"/>
    <w:rsid w:val="009F1854"/>
    <w:rsid w:val="00A25DB3"/>
    <w:rsid w:val="00AD345F"/>
    <w:rsid w:val="00B11152"/>
    <w:rsid w:val="00B975B8"/>
    <w:rsid w:val="00B9787C"/>
    <w:rsid w:val="00BA003D"/>
    <w:rsid w:val="00BA6E27"/>
    <w:rsid w:val="00BF0563"/>
    <w:rsid w:val="00C3366B"/>
    <w:rsid w:val="00CC23B2"/>
    <w:rsid w:val="00D22784"/>
    <w:rsid w:val="00D23767"/>
    <w:rsid w:val="00D32789"/>
    <w:rsid w:val="00D3427F"/>
    <w:rsid w:val="00D350E2"/>
    <w:rsid w:val="00D90869"/>
    <w:rsid w:val="00DA41BA"/>
    <w:rsid w:val="00DD1113"/>
    <w:rsid w:val="00DD31C8"/>
    <w:rsid w:val="00E12971"/>
    <w:rsid w:val="00E56CE4"/>
    <w:rsid w:val="00EA2C9D"/>
    <w:rsid w:val="00ED72AA"/>
    <w:rsid w:val="00EE7D39"/>
    <w:rsid w:val="00F50A13"/>
    <w:rsid w:val="00F81DA8"/>
    <w:rsid w:val="00FA652C"/>
    <w:rsid w:val="00FF39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F30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yperlink" Target="https://www.ncsc.gov.uk/guidance/10-steps-cyber-securit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esg.gov.uk/publications/Documents/iamm-assessment-framework.pdf"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5DEA8-BAEE-494A-9033-D4624E1C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7350</Words>
  <Characters>41897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2018-06-22T09:00:00Z</dcterms:created>
  <dcterms:modified xsi:type="dcterms:W3CDTF">2018-06-22T12:32:00Z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